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Защита прав человека в конфликте</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58.33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«Защита прав человека в конфликте»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«Защита прав человека в конфликте».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«Защита прав человека в конфликте»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создавать, координировать и реализовать комплексные социальные программы, снижающие уровень конфликтогенности в образовательной сфере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техники работы медиатора в образовательной сфере, инструменты вмешательства знания; Законодательство Российской Федерации о медиации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вырабатывать согласованные условий медиативного соглашения и завершение процедуры медиации в образовательной сфере; оформлять результаты деятельности службы медиации в образовательной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специальными техниками ведения процедуры медиации в образовательной сфере; умением разработки социальных программ в области социальной и национальной толерантности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цели собственной деятельности,  определять пути их достижения с уч?том ресурсов, условий, средств, временной перспективы развития деятельности и планируемых результатов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определять приоритеты собственной деятельности, выстраивать планы их достижения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навыком демонстрировать интерес к уч?бе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58.6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«Защита прав человека в конфликте» относится к обязательной части, является дисциплиной Блока Б1. «Дисциплины (модули)». Модуль "Медиативные технологии" основной профессиональной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высшего образования - магистратура по направлению подготовки 44.04.01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Нормативно-правовое регулирование образовательной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методика конфликтологических исследований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103</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Правовой статус человека и гражданина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Защита прав человека в системе конституционного контроля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Механизмы защиты прав человека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Международная защита прав человека в конфликтной ситуации: полномочия универсальных органов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Международные вооруженные конфликты: статус покровительствуемых лиц и режим отдельных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Немеждународные вооруженные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Защита прав человека в ситуации вооруженных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103</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Международные вооруженные конфликты: статус покровительствуемых лиц и режим отдельных объектов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Международные вооруженные конфликты: ограничение средств и методов ведения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Немеждународные вооруженные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Защита прав человека в ситуации вооруженных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300.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Правовой статус человека и гражданина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человека и гражданина – понятие, отличие. Основные категории населения – гражданин (понятие, способы приобретения и утраты гражданства, проблемы множественного гражданства); апатриды (лица без гражданства) – особенности правового статуса. Иностранцы: национальный режим и режим минимального международного стандарта, режим наибольшего благоприятствования и специальный режим. Правовой статус различных категорий населения в Российской Федерации.</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Защита прав человека в системе конституционного контроля Российской Федерации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конституционного контроля в Российской Федерации. Формы защиты прав человека и гражданина в Конституционном суде РФ. Компетенция Конституционного суда РФ в сфере защиты прав и свобод человека. Применение норм международного права, касающихся защиты прав человека в Конституционном суде РФ. Юридическая сила решений Конституционного суда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Механизмы защиты прав человека в Российской Федерации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Институт Уполномоченного по правам человека – понятие, основные полномочия. Уполномоченный по правам человека в РФ при Европейском суде по правам человека – правовой статус, функции.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Международная защита прав человека в конфликтной ситуации: полномочия универсальных органов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Универсальные контрольные органы по защите прав человека – характеристика, полномочия. Комиссия по правам человека в рамках ООН: рассмотрение межгосударственных и индивидуальных сообщений. «Договорные органы» - процедура подачи и рассмотрения межгосударственных и индивидуальных жалоб, основные международные соглашения.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Международные вооруженные конфликты: статус покровительствуемых лиц и режим отдельных объектов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вооруженные конфликты: статус покровительствуемых лиц и режим отдельных объектов.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Немеждународные вооруженные конфликты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Немеждународные вооруженные конфликты.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Защита прав человека в ситуации вооруженных конфликтов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Защита прав человека в ситуации вооруженных конфликтов.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Международные вооруженные конфликты: статус покровительствуемых лиц и режим отдельных объектов</w:t>
            </w:r>
          </w:p>
        </w:tc>
      </w:tr>
      <w:tr>
        <w:trPr>
          <w:trHeight w:hRule="exact" w:val="21.31428"/>
        </w:trPr>
        <w:tc>
          <w:tcPr>
            <w:tcW w:w="9640" w:type="dxa"/>
          </w:tcPr>
          <w:p/>
        </w:tc>
      </w:tr>
      <w:tr>
        <w:trPr>
          <w:trHeight w:hRule="exact" w:val="309.435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"раненные", "больные" и "лица, терпящие кораблекрушение". Правовой статус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раненных, больных и лиц терпящих кораблекрушение согласно нормам международного гуманитарного права (гуманное обращение, уважение, защита и уход). Режим отдельных объектов (медицинские учреждения, формирования, их транспорт, нейтрализованные зоны, зоны безопасности, гражданские объекты, культурные ценности, установки и сооружения, содержащие опасные силы, и др.). Режим оккупированной территории.</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Международные вооруженные конфликты: ограничение средств и методов ведения войны</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Законная цель войны и понятие ограничения методов и средств ведения войны. Основные принципы международного гуманитарного права, касающиеся ограничения методов и средств ведения войны. Нормы источников международного гуманитарного права об ограничении методов и средств ведения войны.</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Немеждународные вооруженные конфликты</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источники международного гуманитарного права, применяемые к немеждународным вооруженным конфликтам. Понятие немеждународных вооруженных конфликтов. Нормы и принципы, применяемые к немеждународным вооруженным конфликтам. Вопрос об аналогиях с правом международных вооруженных конфликтов. Правовая защита жертв вооруженных конфликтов согласно статье 3, общей для всех Женевских конвенций 1949 года, Дополнительному протоколу II от 1977 года, а также обычному международному гуманитарному праву. Минимальная защита, гарантируемая согласно "мини-конвенции" (статье 3, общей для всех Женевских конвенций 1949 г.). Общая защита гражданского населения и особая защита гражданских лиц, предусмотренные Дополнительным протоколом II от 1977 года. Обычное международное гуманитарное право о защите жертв вооруженных конфликтов.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Защита прав человека в ситуации вооруженных конфликтов.</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Соотношение международного гуманитарного права с международным правом прав человека. Соотношение международного гуманитарного права и международного права прав человека. "Интеграционная", "разделительная" и "взаимодополняющая" концепции. Соотношение концепций Lex specialis и Lex generalis. Защита прав человека в ситуации международного вооруженного конфликта. Защита прав человека в ситуации международного вооруженного конфликта. Экстерриториальная юрисдикция государства по обязательствам в области защиты прав человека. Защита прав человека в ситуации немеждународного вооруженного конфликта. Защита прав человека в ситуации немеждународного вооруженного конфликта. Действие прав человека в случае введения чрезвычайного и военного положения.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«Защита прав человека в конфликте» / Костюк И.А..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Багмет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Бычкова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Международное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978-5-238-03069-2.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http://www.iprbookshop.ru/72423.html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Конфликтология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Клачкова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978-5-4497-0127-5.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http://www.iprbookshop.ru/85814.html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ЕСПЧ</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Абашидзе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Алисиевич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978-5-534-04434-8.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https://urait.ru/bcode/437786</w:t>
            </w:r>
            <w:r>
              <w:rPr/>
              <w:t xml:space="preserve"> </w:t>
            </w:r>
          </w:p>
        </w:tc>
      </w:tr>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Конституция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современном</w:t>
            </w:r>
            <w:r>
              <w:rPr/>
              <w:t xml:space="preserve"> </w:t>
            </w:r>
            <w:r>
              <w:rPr>
                <w:rFonts w:ascii="Times New Roman" w:hAnsi="Times New Roman" w:cs="Times New Roman"/>
                <w:color w:val="#000000"/>
                <w:sz w:val="24"/>
                <w:szCs w:val="24"/>
              </w:rPr>
              <w:t>мире.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Агапов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Алимов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Бикоев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Бухнин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Верес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Воронина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Гольман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Мальцев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Маричев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Мирская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Николаев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Папелишвили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Перфилов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Семененко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Стальнова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Тарасенко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Ус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Хажнагоева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Чайковский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ред.</w:t>
            </w:r>
            <w:r>
              <w:rPr/>
              <w:t xml:space="preserve"> </w:t>
            </w:r>
            <w:r>
              <w:rPr>
                <w:rFonts w:ascii="Times New Roman" w:hAnsi="Times New Roman" w:cs="Times New Roman"/>
                <w:color w:val="#000000"/>
                <w:sz w:val="24"/>
                <w:szCs w:val="24"/>
              </w:rPr>
              <w:t>Умнова.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Конституция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современном</w:t>
            </w:r>
            <w:r>
              <w:rPr/>
              <w:t xml:space="preserve"> </w:t>
            </w:r>
            <w:r>
              <w:rPr>
                <w:rFonts w:ascii="Times New Roman" w:hAnsi="Times New Roman" w:cs="Times New Roman"/>
                <w:color w:val="#000000"/>
                <w:sz w:val="24"/>
                <w:szCs w:val="24"/>
              </w:rPr>
              <w:t>мире.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правосудия,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978-5-93916-483-2.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http://www.iprbookshop.ru/49603.html</w:t>
            </w:r>
            <w:r>
              <w:rPr/>
              <w:t xml:space="preserve"> </w:t>
            </w:r>
          </w:p>
        </w:tc>
      </w:tr>
      <w:tr>
        <w:trPr>
          <w:trHeight w:hRule="exact" w:val="2989.68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Конституция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современном</w:t>
            </w:r>
            <w:r>
              <w:rPr/>
              <w:t xml:space="preserve"> </w:t>
            </w:r>
            <w:r>
              <w:rPr>
                <w:rFonts w:ascii="Times New Roman" w:hAnsi="Times New Roman" w:cs="Times New Roman"/>
                <w:color w:val="#000000"/>
                <w:sz w:val="24"/>
                <w:szCs w:val="24"/>
              </w:rPr>
              <w:t>мире.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Агапов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Александрова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Алешкова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Алимов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Андриченко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Бикоев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Бухнин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Верес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Воронина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Глигич-Золотарева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Гольман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Диканова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Дудко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Костылева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Магденко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Мальцев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Маричев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Мирская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Миряшева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Николаев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Папелишвили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Перфилов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Семененко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Софоклис</w:t>
            </w:r>
            <w:r>
              <w:rPr/>
              <w:t xml:space="preserve"> </w:t>
            </w:r>
            <w:r>
              <w:rPr>
                <w:rFonts w:ascii="Times New Roman" w:hAnsi="Times New Roman" w:cs="Times New Roman"/>
                <w:color w:val="#000000"/>
                <w:sz w:val="24"/>
                <w:szCs w:val="24"/>
              </w:rPr>
              <w:t>Софокли,</w:t>
            </w:r>
            <w:r>
              <w:rPr/>
              <w:t xml:space="preserve"> </w:t>
            </w:r>
            <w:r>
              <w:rPr>
                <w:rFonts w:ascii="Times New Roman" w:hAnsi="Times New Roman" w:cs="Times New Roman"/>
                <w:color w:val="#000000"/>
                <w:sz w:val="24"/>
                <w:szCs w:val="24"/>
              </w:rPr>
              <w:t>Стальнова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Тарасенко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(Конюхова)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Ус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Хажнагоева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Чайковский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Черкашин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Чиркин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ред.</w:t>
            </w:r>
            <w:r>
              <w:rPr/>
              <w:t xml:space="preserve"> </w:t>
            </w:r>
            <w:r>
              <w:rPr>
                <w:rFonts w:ascii="Times New Roman" w:hAnsi="Times New Roman" w:cs="Times New Roman"/>
                <w:color w:val="#000000"/>
                <w:sz w:val="24"/>
                <w:szCs w:val="24"/>
              </w:rPr>
              <w:t>Умнова.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Конституция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современном</w:t>
            </w:r>
            <w:r>
              <w:rPr/>
              <w:t xml:space="preserve"> </w:t>
            </w:r>
            <w:r>
              <w:rPr>
                <w:rFonts w:ascii="Times New Roman" w:hAnsi="Times New Roman" w:cs="Times New Roman"/>
                <w:color w:val="#000000"/>
                <w:sz w:val="24"/>
                <w:szCs w:val="24"/>
              </w:rPr>
              <w:t>мире.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правосудия,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978-5-93916-483-2.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http://www.iprbookshop.ru/49602.html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гражданина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свободу</w:t>
            </w:r>
            <w:r>
              <w:rPr/>
              <w:t xml:space="preserve"> </w:t>
            </w:r>
            <w:r>
              <w:rPr>
                <w:rFonts w:ascii="Times New Roman" w:hAnsi="Times New Roman" w:cs="Times New Roman"/>
                <w:color w:val="#000000"/>
                <w:sz w:val="24"/>
                <w:szCs w:val="24"/>
              </w:rPr>
              <w:t>творчества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Шапорева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Кабышев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p>
        </w:tc>
      </w:tr>
      <w:tr>
        <w:trPr>
          <w:trHeight w:hRule="exact" w:val="678.406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978-5-4486-0473-7.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http://www.iprbookshop.ru/79795.html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Международные</w:t>
            </w:r>
            <w:r>
              <w:rPr/>
              <w:t xml:space="preserve"> </w:t>
            </w:r>
            <w:r>
              <w:rPr>
                <w:rFonts w:ascii="Times New Roman" w:hAnsi="Times New Roman" w:cs="Times New Roman"/>
                <w:color w:val="#000000"/>
                <w:sz w:val="24"/>
                <w:szCs w:val="24"/>
              </w:rPr>
              <w:t>конфликты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978-5-534-08284-5.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https://urait.ru/bcode/442320</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Международное</w:t>
            </w:r>
            <w:r>
              <w:rPr/>
              <w:t xml:space="preserve"> </w:t>
            </w:r>
            <w:r>
              <w:rPr>
                <w:rFonts w:ascii="Times New Roman" w:hAnsi="Times New Roman" w:cs="Times New Roman"/>
                <w:color w:val="#000000"/>
                <w:sz w:val="24"/>
                <w:szCs w:val="24"/>
              </w:rPr>
              <w:t>гуманитарное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Маилян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Котляров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Грицаев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Гусарова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Григорович</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Пузырева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Ходжабегова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Котлярова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Международное</w:t>
            </w:r>
            <w:r>
              <w:rPr/>
              <w:t xml:space="preserve"> </w:t>
            </w:r>
            <w:r>
              <w:rPr>
                <w:rFonts w:ascii="Times New Roman" w:hAnsi="Times New Roman" w:cs="Times New Roman"/>
                <w:color w:val="#000000"/>
                <w:sz w:val="24"/>
                <w:szCs w:val="24"/>
              </w:rPr>
              <w:t>гуманитарное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978-5-238-01505-7.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http://www.iprbookshop.ru/83036.html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3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34.93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05.1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2023-2024_ФГОС3++2023_Маг-ЗФО-ПО(Шк мед)(23)_plx_Защита прав человека в конфликте</dc:title>
  <dc:creator>FastReport.NET</dc:creator>
</cp:coreProperties>
</file>